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5D" w:rsidRPr="00605E5D" w:rsidRDefault="00605E5D" w:rsidP="00605E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Бөек драматург, артист, режиссер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Кәрим Тинчуринның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тууына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129 ел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тулуга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һәм </w:t>
      </w: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Татар театрның 110 </w:t>
      </w:r>
      <w:proofErr w:type="spell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еллыгы</w:t>
      </w:r>
      <w:proofErr w:type="spell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уңаеннан үткә</w:t>
      </w:r>
      <w:proofErr w:type="gram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ә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торган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Республикамәктәпләре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конкурсы нигезләмәсе</w:t>
      </w:r>
    </w:p>
    <w:p w:rsidR="00605E5D" w:rsidRPr="00605E5D" w:rsidRDefault="00605E5D" w:rsidP="00605E5D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конкурсы бөек драматург, артист, режиссер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Кәрим Тинчуринның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тууына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129 ел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тулуга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багышлана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кыскарты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Конкурс).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Кәрим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исемендәге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драматургиянең VIII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Халыкара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кысаларында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үткәрелә.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Республикасының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барлык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мәктә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әре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катнашында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беренче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тапкыр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мәктәп конкурсы үткәрелде. Республика мәктәпләре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арасында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Кәрим Тинчуринның иҗатына 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багышланган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үткәрү  татар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театрлары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әктәпләре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арасындагы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бәйләнешне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ныгыта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укучы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тәрбияләүдә уңай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йогынты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ясый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Конкурсның </w:t>
      </w:r>
      <w:proofErr w:type="spell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максаты</w:t>
      </w:r>
      <w:proofErr w:type="spell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бурычлары</w:t>
      </w:r>
      <w:proofErr w:type="spellEnd"/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Кәрим Тинчуринның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тормышын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иҗатын тирәнтен өйрәнү;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Кәрим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тормышын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иҗатын өйрәнү нигезләренә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таянып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гомумбелем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мәктә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әрендә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яшьүсмерләрдә эстети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тәрбия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үсешен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активлаштыру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әдәниятенә, драматургия һәм әдәбиятка,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музыкага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хореографиягә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тарту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сәнгатьнең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кайбер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төрләрендә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яшьләрне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ачу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аларга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булышлык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татар халкының мәңгелек традицияләренә, татар теленә мәхәббәт 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әрбияләү;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классик әдәбият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дөньяга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карашны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киңәйтү;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гамәлгә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куючылар</w:t>
      </w:r>
      <w:proofErr w:type="spell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оештыручылар</w:t>
      </w:r>
      <w:proofErr w:type="spell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-Татарстан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Мәдәният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министрлыгы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-Татарстан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Мәгариф һәм Фән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министрлыгы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-ДБО “Кәрим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исемендәге Татар дәү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 драма һәм комедия театры”</w:t>
      </w:r>
    </w:p>
    <w:p w:rsidR="00605E5D" w:rsidRPr="00605E5D" w:rsidRDefault="00605E5D" w:rsidP="00605E5D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 Республика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сының район мәктә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оештыру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өчен җаваплы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театрлар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-ДБО “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Чаллы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 дәү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 драма театры”;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ДБО “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дәү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 драма театры”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Конкурска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җибәрелгән фәнни-гамәли һәм иҗади эшләргә Татарстан Республикасының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танылган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сәнгать әһелләреннән, фән һәм җә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әгать эшлеклеләреннән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бәя бирә.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Конкурста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катнашу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бушлай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Конкурска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җибәрелгән эшлә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кайтарылмый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әмма автор рөхсәте белән республика мәгълүмат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чараларында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кулланылырга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мөмкин.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Конкурста</w:t>
      </w:r>
      <w:proofErr w:type="spell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катнашучылар</w:t>
      </w:r>
      <w:proofErr w:type="spellEnd"/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гомумбелем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мәктә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әренең 5-11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сыйныф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укучылары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катнаша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Конкурсның </w:t>
      </w:r>
      <w:proofErr w:type="spell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тематикасы</w:t>
      </w:r>
      <w:proofErr w:type="spellEnd"/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Конкурста</w:t>
      </w:r>
      <w:proofErr w:type="spellEnd"/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әрим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пьесаларыннан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драматургиянең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үрнәкләреннән сәнгать эшләре күрсәтү карала.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Татарстан Республикасының район мәктә</w:t>
      </w:r>
      <w:proofErr w:type="gram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</w:t>
      </w:r>
      <w:proofErr w:type="gram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әре өчен: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1.Спектакльдән өзек (вокал яки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бию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хуплана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(8-10 мин.));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Спектакльдән монолог (3-4мин.);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3.Спектакльдән җыр;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Казан мәктә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әре һәм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өчен: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Кәрим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исемендәге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драматургия театр фестиваленең спектакльләрен (15-21 сентябрь 2016 ел)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әндәге иҗат эшләрен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башкару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сорала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Фәнни-иҗади </w:t>
      </w:r>
      <w:proofErr w:type="spell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эш</w:t>
      </w:r>
      <w:proofErr w:type="spell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инша</w:t>
      </w:r>
      <w:proofErr w:type="spell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(фестиваль спектакльләрен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караганнан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соң фәнни–иҗади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инша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язу өчен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темалар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укучы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үзе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сайлап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ала))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-“Кәрим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атар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театрына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нигез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салучыларның берсе”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-“Кәрим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ктер, драматург, режиссер”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-“Минем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караган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спектаклем”.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-“Спектакльдә 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ңа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ошаган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герой-образ”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-“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Тамашачы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булырга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?”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Ирекле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әсем-эскиз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(караган спектакль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Маке</w:t>
      </w:r>
      <w:proofErr w:type="gram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караган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спектакль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Укучыларның фәнни-гамәли һәм иҗади эшләре һә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номинациядә түбәндәге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яшь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категорияләре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кабул ителә:</w:t>
      </w:r>
    </w:p>
    <w:p w:rsidR="00605E5D" w:rsidRPr="00605E5D" w:rsidRDefault="00605E5D" w:rsidP="00605E5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төркем: 5-7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сыйныфлар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E5D" w:rsidRPr="00605E5D" w:rsidRDefault="00605E5D" w:rsidP="00605E5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төркем: 8-9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сыйныфлар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E5D" w:rsidRPr="00605E5D" w:rsidRDefault="00605E5D" w:rsidP="00605E5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төркем: 10-11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сыйныфлар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Конкурсны</w:t>
      </w:r>
      <w:proofErr w:type="spell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үткә</w:t>
      </w:r>
      <w:proofErr w:type="gram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 тәртибе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Конкурс 2016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елның 1 сентябреннә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25 ноябренә кадә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үткәрелә: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— мәктә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әрдә. 2016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елның 1 сентябреннән 30 сентябрьгә кадәр үткәрелә.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этап –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җирлекләрдә.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елның 1 октябреннән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октябрьгә кадә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үткәрелә.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– Республика кү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әмендә.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 район мәктә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 өчен: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-10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ноябрьдә  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дәүләт драма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театрында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Карл Маркс ур,68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(10.00 да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башлана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-15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ноябрьдә 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Чаллы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 дәүләт драма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театрында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Хәсән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Туфан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проспекты,15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(10.00 да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башлана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-18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ноябрьд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 К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әрим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исемендәге татар дәүләт драма һәм комедия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театрында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адресы М.Горький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урамы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(10.00да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башлана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 шә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һәре мәктә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әренең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иҗат эшләре 21-23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ноябрьдә тикшерелә.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Номинациялә</w:t>
      </w:r>
      <w:proofErr w:type="gram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түбәндәге номинациялә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булдырыла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тиешле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призлар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билгеләнә.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“Спектакльдән җыр”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номинациясе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әсәрнең сәнгати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башкарылышы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-интонациянең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чисталыгы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яңгыраш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сыйфаты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-тембр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матурлыгы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тавыш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чисталыгы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“Спектакльдән өзек”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номинациясе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-образны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ачу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-сәхнә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культурасы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костюм;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-өзекнең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катлаулылыгы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“Спектакльдән монолог”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номинациясе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-өзекнең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мөмкинлекләренә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яшь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категориясенә туры килүе;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башкару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осталыгы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-сәнгатьле башкаруның төрле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чараларын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уллану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(костюм яки декорация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элементлары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бизәлеш).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</w:t>
      </w:r>
      <w:proofErr w:type="gram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әсем-эскиз”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номинациясе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-күзаллауның сәнгати дә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әҗәсе;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-эчтәлек тирәнлеге,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грамоталылыгы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башкаруга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иҗади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килү,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оригинальлек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“Фәнни-иҗади </w:t>
      </w:r>
      <w:proofErr w:type="spell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эш</w:t>
      </w:r>
      <w:proofErr w:type="spell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инша</w:t>
      </w:r>
      <w:proofErr w:type="spell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 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номинациясе</w:t>
      </w:r>
      <w:proofErr w:type="spellEnd"/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-билгеләнгән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теманы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ачу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,э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шкә иҗади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якын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килү;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югары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әҗәдәге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осталык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грамоталылык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яңалык,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кызыклы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идеяләр, фантазия;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заманча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 технологияләрен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куллану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катнашырга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теләүчелә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ДБО “Кәрим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исемендәге Татар дәүләт драма һәм комедия театры“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адресына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күрсәтелгән форма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гариза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җибәрә</w:t>
      </w: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Гаризалар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почта бүлекчәсе яки элек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трон элемтә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елның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ноябренә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тикле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кабул ителә.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Казан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мәктә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 фәнни-иҗади эшлә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рен, рәсем-эскиз, макет эшләрен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елның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ноябренә кадәр җибәрергә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Фәнни эшләрнең күләме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14 кегель, 1,5 интервал белән 5-6 биттән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артмаска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әсем-эскиз (А-3).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Фәнни-иҗ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әсем-эскиз эшләре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әгазь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вариантсыз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каралмый.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Жюри конкурска җибәрелгән фәнни-гамәли һәм иҗади эшләрне карый һәм иң яхшыларын конференциядә чыгыш ясау өчен тәкъдим итә.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Кәрим Тинчурин исемендәге Татар дәүләт драма һәм комедия театрының электрон әрҗәсенә; e-mail: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hyperlink r:id="rId5" w:history="1">
        <w:r w:rsidRPr="00605E5D">
          <w:rPr>
            <w:rFonts w:ascii="Times New Roman" w:eastAsia="Times New Roman" w:hAnsi="Times New Roman" w:cs="Times New Roman"/>
            <w:color w:val="1A6F68"/>
            <w:sz w:val="28"/>
            <w:szCs w:val="28"/>
            <w:u w:val="single"/>
            <w:lang w:val="tt-RU" w:eastAsia="ru-RU"/>
          </w:rPr>
          <w:t>tinchurinmuseum@mail.ru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һәм почта буенча эшләрнең кәгазь вариантын җибәрә ала (адресы: Казан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әһәре, Горький урамы, 13 йорт).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Тел. 236-66-89; 8-927-031-36-82;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Музей җитәкчесе-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Чабатова Розалия Вәлиәхмәтовна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(барлык сораулар буенча шалтыратырга мөмкин).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Шулай ук, конкурс эшләрен театрга 9.00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әг.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18.00 сәг.тикле китерергә мөмкин.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Конкурс турындагы мәгълүмат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белән Тинчурин театры сайтында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танышырга була.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Финалга чыккан катнашучылар хакында мәгълүмат хат аша алдан хәбәр җибәрелә. 2016 нчы елның 29 ноябрендә Кәрим Тинчурин исемендәге Татар дәүләт драма һәм комедия театры бинасында (адресы: Казан шәһәре, Горький урамы, 13 йорт) көндез генераль репитиция үткәрелә (гала-концертка әзерлек) һәм фәнни-иҗади конференция уза.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Шул ук көнне 18.00 сәгатьтә “Ул кабызган утлар балкышы” дип аталган гала-концерт-бүләкләү була.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Бү</w:t>
      </w:r>
      <w:proofErr w:type="gram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gram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әкләү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Оештыру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комитеты 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түб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әндәге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призларны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булдырды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Диплом һәм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онкурсның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әлекле, кыйммәтле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билгесе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башка бүләкләр.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катнашка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укучыга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аның җитәкчесенә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шаһәдәтнамә бирелә.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Катнашучыларга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шаһәдәтнамәләр электрон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формада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җибәрелә.</w:t>
      </w:r>
    </w:p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Кушымта</w:t>
      </w:r>
      <w:proofErr w:type="spell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Бөек драматург, артист, режиссер Кәрим 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чуринның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тууына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129 ел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һәм Татар театрның 110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еллыгы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уңаеннан үткә</w:t>
      </w:r>
      <w:proofErr w:type="gram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мәктәпләре </w:t>
      </w: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конкурсына</w:t>
      </w:r>
      <w:proofErr w:type="spellEnd"/>
    </w:p>
    <w:p w:rsidR="00605E5D" w:rsidRPr="00605E5D" w:rsidRDefault="00605E5D" w:rsidP="00605E5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Гариза</w:t>
      </w:r>
      <w:proofErr w:type="spellEnd"/>
    </w:p>
    <w:tbl>
      <w:tblPr>
        <w:tblStyle w:val="a6"/>
        <w:tblW w:w="11310" w:type="dxa"/>
        <w:tblInd w:w="-318" w:type="dxa"/>
        <w:tblLook w:val="04A0"/>
      </w:tblPr>
      <w:tblGrid>
        <w:gridCol w:w="11310"/>
      </w:tblGrid>
      <w:tr w:rsidR="00605E5D" w:rsidRPr="00605E5D" w:rsidTr="00605E5D">
        <w:tc>
          <w:tcPr>
            <w:tcW w:w="11310" w:type="dxa"/>
          </w:tcPr>
          <w:p w:rsidR="00605E5D" w:rsidRPr="00605E5D" w:rsidRDefault="00605E5D" w:rsidP="00314D62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Республиканың район мәктә</w:t>
            </w:r>
            <w:proofErr w:type="gramStart"/>
            <w:r w:rsidRPr="00605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gramEnd"/>
            <w:r w:rsidRPr="00605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әре өчен </w:t>
            </w:r>
            <w:proofErr w:type="spellStart"/>
            <w:r w:rsidRPr="00605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гариза</w:t>
            </w:r>
            <w:proofErr w:type="spellEnd"/>
            <w:r w:rsidRPr="00605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үрнәге:</w:t>
            </w:r>
          </w:p>
        </w:tc>
      </w:tr>
      <w:tr w:rsidR="00605E5D" w:rsidRPr="00605E5D" w:rsidTr="00605E5D">
        <w:trPr>
          <w:trHeight w:val="3060"/>
        </w:trPr>
        <w:tc>
          <w:tcPr>
            <w:tcW w:w="11310" w:type="dxa"/>
          </w:tcPr>
          <w:tbl>
            <w:tblPr>
              <w:tblW w:w="10776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39"/>
              <w:gridCol w:w="1239"/>
              <w:gridCol w:w="169"/>
              <w:gridCol w:w="1522"/>
              <w:gridCol w:w="1408"/>
              <w:gridCol w:w="1333"/>
              <w:gridCol w:w="90"/>
              <w:gridCol w:w="1383"/>
              <w:gridCol w:w="177"/>
              <w:gridCol w:w="1716"/>
            </w:tblGrid>
            <w:tr w:rsidR="00605E5D" w:rsidRPr="00605E5D" w:rsidTr="00605E5D">
              <w:trPr>
                <w:tblCellSpacing w:w="15" w:type="dxa"/>
              </w:trPr>
              <w:tc>
                <w:tcPr>
                  <w:tcW w:w="1694" w:type="dxa"/>
                  <w:vMerge w:val="restart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Белем</w:t>
                  </w:r>
                  <w:proofErr w:type="spellEnd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бирү оешмасының </w:t>
                  </w: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тулы</w:t>
                  </w:r>
                  <w:proofErr w:type="spellEnd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исеме</w:t>
                  </w:r>
                  <w:proofErr w:type="spellEnd"/>
                </w:p>
              </w:tc>
              <w:tc>
                <w:tcPr>
                  <w:tcW w:w="1209" w:type="dxa"/>
                  <w:vMerge w:val="restart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Әсәрнең </w:t>
                  </w: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исеме</w:t>
                  </w:r>
                  <w:proofErr w:type="spellEnd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авторы</w:t>
                  </w:r>
                </w:p>
              </w:tc>
              <w:tc>
                <w:tcPr>
                  <w:tcW w:w="139" w:type="dxa"/>
                  <w:vMerge w:val="restart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05E5D" w:rsidRDefault="00605E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5E5D" w:rsidRDefault="00605E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5E5D" w:rsidRPr="00605E5D" w:rsidRDefault="00605E5D" w:rsidP="00605E5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33" w:type="dxa"/>
                  <w:gridSpan w:val="3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Катнашучылар</w:t>
                  </w:r>
                  <w:proofErr w:type="spellEnd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исемлеге</w:t>
                  </w:r>
                  <w:proofErr w:type="spellEnd"/>
                </w:p>
              </w:tc>
              <w:tc>
                <w:tcPr>
                  <w:tcW w:w="60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05E5D" w:rsidRPr="00605E5D" w:rsidRDefault="00605E5D" w:rsidP="00605E5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53" w:type="dxa"/>
                  <w:vMerge w:val="restart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Җ</w:t>
                  </w:r>
                  <w:proofErr w:type="gram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ит</w:t>
                  </w:r>
                  <w:proofErr w:type="gramEnd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әкче-</w:t>
                  </w:r>
                </w:p>
                <w:p w:rsidR="00605E5D" w:rsidRPr="00605E5D" w:rsidRDefault="00605E5D" w:rsidP="00314D62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нең Ф.И.О;</w:t>
                  </w:r>
                </w:p>
                <w:p w:rsidR="00605E5D" w:rsidRPr="00605E5D" w:rsidRDefault="00605E5D" w:rsidP="00314D62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телефоны,</w:t>
                  </w:r>
                </w:p>
                <w:p w:rsidR="00605E5D" w:rsidRPr="00605E5D" w:rsidRDefault="00605E5D" w:rsidP="00314D62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электрон адресы</w:t>
                  </w:r>
                </w:p>
              </w:tc>
              <w:tc>
                <w:tcPr>
                  <w:tcW w:w="147" w:type="dxa"/>
                  <w:vMerge w:val="restart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05E5D" w:rsidRDefault="00605E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5E5D" w:rsidRDefault="00605E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5E5D" w:rsidRDefault="00605E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5E5D" w:rsidRDefault="00605E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5E5D" w:rsidRPr="00605E5D" w:rsidRDefault="00605E5D" w:rsidP="00605E5D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71" w:type="dxa"/>
                  <w:vMerge w:val="restart"/>
                  <w:shd w:val="clear" w:color="auto" w:fill="FFFFFF"/>
                  <w:vAlign w:val="center"/>
                  <w:hideMark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Декорация, </w:t>
                  </w: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музыкаль</w:t>
                  </w:r>
                  <w:proofErr w:type="spellEnd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бизәлеш </w:t>
                  </w: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турында</w:t>
                  </w:r>
                  <w:proofErr w:type="spellEnd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мәгълүмат</w:t>
                  </w:r>
                </w:p>
              </w:tc>
            </w:tr>
            <w:tr w:rsidR="00605E5D" w:rsidRPr="00605E5D" w:rsidTr="00605E5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92" w:type="dxa"/>
                  <w:shd w:val="clear" w:color="auto" w:fill="FFFFFF"/>
                  <w:vAlign w:val="center"/>
                  <w:hideMark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1378" w:type="dxa"/>
                  <w:shd w:val="clear" w:color="auto" w:fill="FFFFFF"/>
                  <w:vAlign w:val="center"/>
                  <w:hideMark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Уйнаган</w:t>
                  </w:r>
                  <w:proofErr w:type="spellEnd"/>
                </w:p>
                <w:p w:rsidR="00605E5D" w:rsidRPr="00605E5D" w:rsidRDefault="00605E5D" w:rsidP="00314D62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роле</w:t>
                  </w:r>
                </w:p>
              </w:tc>
              <w:tc>
                <w:tcPr>
                  <w:tcW w:w="130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Туган</w:t>
                  </w:r>
                  <w:proofErr w:type="spellEnd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вакыты</w:t>
                  </w:r>
                  <w:proofErr w:type="spellEnd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тулы</w:t>
                  </w:r>
                  <w:proofErr w:type="spellEnd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яше</w:t>
                  </w:r>
                  <w:proofErr w:type="spellEnd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сыйныфы</w:t>
                  </w:r>
                  <w:proofErr w:type="spellEnd"/>
                </w:p>
              </w:tc>
              <w:tc>
                <w:tcPr>
                  <w:tcW w:w="60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53" w:type="dxa"/>
                  <w:vMerge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05E5D" w:rsidRPr="00605E5D" w:rsidTr="00605E5D">
              <w:trPr>
                <w:tblCellSpacing w:w="15" w:type="dxa"/>
              </w:trPr>
              <w:tc>
                <w:tcPr>
                  <w:tcW w:w="1694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78" w:type="dxa"/>
                  <w:gridSpan w:val="2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93" w:type="dxa"/>
                  <w:gridSpan w:val="2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5E5D" w:rsidRPr="00605E5D" w:rsidRDefault="00605E5D" w:rsidP="00314D6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05E5D" w:rsidRPr="00605E5D" w:rsidRDefault="00605E5D" w:rsidP="00605E5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Сәхнәләштерелгән өзеккә бәяләмә (аннотация)</w:t>
            </w:r>
          </w:p>
        </w:tc>
      </w:tr>
    </w:tbl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tbl>
      <w:tblPr>
        <w:tblStyle w:val="a6"/>
        <w:tblW w:w="11052" w:type="dxa"/>
        <w:tblLook w:val="04A0"/>
      </w:tblPr>
      <w:tblGrid>
        <w:gridCol w:w="1951"/>
        <w:gridCol w:w="1276"/>
        <w:gridCol w:w="1550"/>
        <w:gridCol w:w="1617"/>
        <w:gridCol w:w="2503"/>
        <w:gridCol w:w="1070"/>
        <w:gridCol w:w="1085"/>
      </w:tblGrid>
      <w:tr w:rsidR="00605E5D" w:rsidRPr="00605E5D" w:rsidTr="00605E5D">
        <w:tc>
          <w:tcPr>
            <w:tcW w:w="11052" w:type="dxa"/>
            <w:gridSpan w:val="7"/>
          </w:tcPr>
          <w:p w:rsidR="00605E5D" w:rsidRPr="00605E5D" w:rsidRDefault="00605E5D" w:rsidP="005E036C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605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Казан мәктәпләре өчен гариза үрнәге</w:t>
            </w:r>
          </w:p>
        </w:tc>
      </w:tr>
      <w:tr w:rsidR="00605E5D" w:rsidTr="00605E5D">
        <w:tc>
          <w:tcPr>
            <w:tcW w:w="11052" w:type="dxa"/>
            <w:gridSpan w:val="7"/>
          </w:tcPr>
          <w:tbl>
            <w:tblPr>
              <w:tblW w:w="10836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842"/>
              <w:gridCol w:w="1321"/>
              <w:gridCol w:w="60"/>
              <w:gridCol w:w="3004"/>
              <w:gridCol w:w="1286"/>
              <w:gridCol w:w="1281"/>
              <w:gridCol w:w="316"/>
              <w:gridCol w:w="1726"/>
            </w:tblGrid>
            <w:tr w:rsidR="00605E5D" w:rsidRPr="00605E5D" w:rsidTr="00605E5D">
              <w:trPr>
                <w:tblCellSpacing w:w="15" w:type="dxa"/>
              </w:trPr>
              <w:tc>
                <w:tcPr>
                  <w:tcW w:w="1798" w:type="dxa"/>
                  <w:shd w:val="clear" w:color="auto" w:fill="FFFFFF"/>
                  <w:vAlign w:val="center"/>
                  <w:hideMark/>
                </w:tcPr>
                <w:p w:rsidR="00605E5D" w:rsidRPr="00605E5D" w:rsidRDefault="00605E5D" w:rsidP="005E036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Белем</w:t>
                  </w:r>
                  <w:proofErr w:type="spellEnd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бирү оешмасының </w:t>
                  </w: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тулы</w:t>
                  </w:r>
                  <w:proofErr w:type="spellEnd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исем</w:t>
                  </w:r>
                  <w:proofErr w:type="spellEnd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  <w:tc>
                <w:tcPr>
                  <w:tcW w:w="12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5E5D" w:rsidRPr="00605E5D" w:rsidRDefault="00605E5D" w:rsidP="005E036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Иҗади эшнең </w:t>
                  </w: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темасы</w:t>
                  </w:r>
                  <w:proofErr w:type="spellEnd"/>
                </w:p>
              </w:tc>
              <w:tc>
                <w:tcPr>
                  <w:tcW w:w="30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05E5D" w:rsidRDefault="00605E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5E5D" w:rsidRDefault="00605E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5E5D" w:rsidRPr="00605E5D" w:rsidRDefault="00605E5D" w:rsidP="00605E5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81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5E5D" w:rsidRPr="00605E5D" w:rsidRDefault="00605E5D" w:rsidP="00605E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Катнашучылар</w:t>
                  </w:r>
                  <w:proofErr w:type="spellEnd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исемлеге</w:t>
                  </w:r>
                  <w:proofErr w:type="spellEnd"/>
                </w:p>
              </w:tc>
              <w:tc>
                <w:tcPr>
                  <w:tcW w:w="1264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05E5D" w:rsidRPr="00605E5D" w:rsidRDefault="00605E5D" w:rsidP="00605E5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8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5E5D" w:rsidRPr="00605E5D" w:rsidRDefault="00605E5D" w:rsidP="005E036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Җ</w:t>
                  </w:r>
                  <w:proofErr w:type="gram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ит</w:t>
                  </w:r>
                  <w:proofErr w:type="gramEnd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әкче-</w:t>
                  </w:r>
                </w:p>
                <w:p w:rsidR="00605E5D" w:rsidRPr="00605E5D" w:rsidRDefault="00605E5D" w:rsidP="005E036C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нең Ф.И.О;</w:t>
                  </w:r>
                </w:p>
                <w:p w:rsidR="00605E5D" w:rsidRPr="00605E5D" w:rsidRDefault="00605E5D" w:rsidP="005E036C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телефоны,</w:t>
                  </w:r>
                </w:p>
                <w:p w:rsidR="00605E5D" w:rsidRPr="00605E5D" w:rsidRDefault="00605E5D" w:rsidP="005E036C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электрон адресы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05E5D" w:rsidRDefault="00605E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5E5D" w:rsidRDefault="00605E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5E5D" w:rsidRDefault="00605E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5E5D" w:rsidRDefault="00605E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5E5D" w:rsidRPr="00605E5D" w:rsidRDefault="00605E5D" w:rsidP="00605E5D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4" w:type="dxa"/>
                  <w:shd w:val="clear" w:color="auto" w:fill="FFFFFF"/>
                  <w:vAlign w:val="center"/>
                  <w:hideMark/>
                </w:tcPr>
                <w:p w:rsidR="00605E5D" w:rsidRPr="00605E5D" w:rsidRDefault="00605E5D" w:rsidP="005E036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Өстәмә </w:t>
                  </w:r>
                  <w:proofErr w:type="gramStart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  <w:proofErr w:type="gramEnd"/>
                  <w:r w:rsidRPr="00605E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әгълүмат</w:t>
                  </w:r>
                </w:p>
              </w:tc>
            </w:tr>
          </w:tbl>
          <w:p w:rsidR="00605E5D" w:rsidRDefault="00605E5D"/>
        </w:tc>
      </w:tr>
      <w:tr w:rsidR="00605E5D" w:rsidRPr="00605E5D" w:rsidTr="00605E5D">
        <w:trPr>
          <w:gridAfter w:val="1"/>
          <w:wAfter w:w="1085" w:type="dxa"/>
        </w:trPr>
        <w:tc>
          <w:tcPr>
            <w:tcW w:w="1951" w:type="dxa"/>
            <w:hideMark/>
          </w:tcPr>
          <w:p w:rsidR="00605E5D" w:rsidRPr="00605E5D" w:rsidRDefault="00605E5D" w:rsidP="00605E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605E5D" w:rsidRPr="00605E5D" w:rsidRDefault="00605E5D" w:rsidP="00605E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hideMark/>
          </w:tcPr>
          <w:p w:rsidR="00605E5D" w:rsidRPr="00605E5D" w:rsidRDefault="00605E5D" w:rsidP="00605E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17" w:type="dxa"/>
            <w:hideMark/>
          </w:tcPr>
          <w:p w:rsidR="00605E5D" w:rsidRPr="00605E5D" w:rsidRDefault="00605E5D" w:rsidP="00605E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Туган</w:t>
            </w:r>
            <w:proofErr w:type="spellEnd"/>
            <w:r w:rsidRPr="00605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5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вакыты</w:t>
            </w:r>
            <w:proofErr w:type="spellEnd"/>
            <w:r w:rsidRPr="00605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5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тулы</w:t>
            </w:r>
            <w:proofErr w:type="spellEnd"/>
            <w:r w:rsidRPr="00605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5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яше</w:t>
            </w:r>
            <w:proofErr w:type="spellEnd"/>
            <w:r w:rsidRPr="00605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5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сыйныфы</w:t>
            </w:r>
            <w:proofErr w:type="spellEnd"/>
          </w:p>
        </w:tc>
        <w:tc>
          <w:tcPr>
            <w:tcW w:w="2503" w:type="dxa"/>
            <w:hideMark/>
          </w:tcPr>
          <w:p w:rsidR="00605E5D" w:rsidRPr="00605E5D" w:rsidRDefault="00605E5D" w:rsidP="00605E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hideMark/>
          </w:tcPr>
          <w:p w:rsidR="00605E5D" w:rsidRPr="00605E5D" w:rsidRDefault="00605E5D" w:rsidP="00605E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5E5D" w:rsidRPr="00605E5D" w:rsidTr="00605E5D">
        <w:trPr>
          <w:gridAfter w:val="1"/>
          <w:wAfter w:w="1085" w:type="dxa"/>
        </w:trPr>
        <w:tc>
          <w:tcPr>
            <w:tcW w:w="1951" w:type="dxa"/>
            <w:hideMark/>
          </w:tcPr>
          <w:p w:rsidR="00605E5D" w:rsidRPr="00605E5D" w:rsidRDefault="00605E5D" w:rsidP="00605E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605E5D" w:rsidRPr="00605E5D" w:rsidRDefault="00605E5D" w:rsidP="00605E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hideMark/>
          </w:tcPr>
          <w:p w:rsidR="00605E5D" w:rsidRPr="00605E5D" w:rsidRDefault="00605E5D" w:rsidP="00605E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hideMark/>
          </w:tcPr>
          <w:p w:rsidR="00605E5D" w:rsidRPr="00605E5D" w:rsidRDefault="00605E5D" w:rsidP="00605E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hideMark/>
          </w:tcPr>
          <w:p w:rsidR="00605E5D" w:rsidRPr="00605E5D" w:rsidRDefault="00605E5D" w:rsidP="00605E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hideMark/>
          </w:tcPr>
          <w:p w:rsidR="00605E5D" w:rsidRPr="00605E5D" w:rsidRDefault="00605E5D" w:rsidP="00605E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5E5D" w:rsidRPr="00605E5D" w:rsidRDefault="00605E5D" w:rsidP="00605E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Искәрмә: </w:t>
      </w:r>
      <w:proofErr w:type="spell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Гаризалар</w:t>
      </w:r>
      <w:proofErr w:type="spell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тәкъдим ителгән үрнәк </w:t>
      </w:r>
      <w:proofErr w:type="spell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буенча</w:t>
      </w:r>
      <w:proofErr w:type="spell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гына</w:t>
      </w:r>
      <w:proofErr w:type="spellEnd"/>
      <w:r w:rsidRPr="0060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кабул ителә.</w:t>
      </w:r>
    </w:p>
    <w:p w:rsidR="00743C8D" w:rsidRPr="00605E5D" w:rsidRDefault="00605E5D" w:rsidP="00605E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C8D" w:rsidRPr="00605E5D" w:rsidSect="0009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1B45"/>
    <w:multiLevelType w:val="multilevel"/>
    <w:tmpl w:val="B37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55615"/>
    <w:multiLevelType w:val="multilevel"/>
    <w:tmpl w:val="5CC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E5D"/>
    <w:rsid w:val="00091996"/>
    <w:rsid w:val="00605E5D"/>
    <w:rsid w:val="009A6F31"/>
    <w:rsid w:val="00F5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E5D"/>
    <w:rPr>
      <w:b/>
      <w:bCs/>
    </w:rPr>
  </w:style>
  <w:style w:type="character" w:styleId="a5">
    <w:name w:val="Hyperlink"/>
    <w:basedOn w:val="a0"/>
    <w:uiPriority w:val="99"/>
    <w:semiHidden/>
    <w:unhideWhenUsed/>
    <w:rsid w:val="00605E5D"/>
    <w:rPr>
      <w:color w:val="0000FF"/>
      <w:u w:val="single"/>
    </w:rPr>
  </w:style>
  <w:style w:type="table" w:styleId="a6">
    <w:name w:val="Table Grid"/>
    <w:basedOn w:val="a1"/>
    <w:uiPriority w:val="59"/>
    <w:rsid w:val="0060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churinmuse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1125</Words>
  <Characters>6417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Рузалия</dc:creator>
  <cp:keywords/>
  <dc:description/>
  <cp:lastModifiedBy>Рузалия</cp:lastModifiedBy>
  <cp:revision>3</cp:revision>
  <dcterms:created xsi:type="dcterms:W3CDTF">2020-01-30T10:15:00Z</dcterms:created>
  <dcterms:modified xsi:type="dcterms:W3CDTF">2020-01-30T10:24:00Z</dcterms:modified>
</cp:coreProperties>
</file>